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bookmarkStart w:id="0" w:name="_Toc12760"/>
      <w:bookmarkStart w:id="1" w:name="_Toc12035"/>
      <w:bookmarkStart w:id="2" w:name="_Toc27802_WPSOffice_Level1"/>
      <w:bookmarkStart w:id="3" w:name="_Toc595_WPSOffice_Level1"/>
      <w:bookmarkStart w:id="4" w:name="_Toc23776_WPSOffice_Level1"/>
      <w:bookmarkStart w:id="5" w:name="_Toc29411_WPSOffice_Level1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基础医学院2021-2022学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课程思政问卷调查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汇总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bookmarkStart w:id="6" w:name="_GoBack"/>
      <w:bookmarkEnd w:id="6"/>
      <w:r>
        <w:rPr>
          <w:rFonts w:hint="eastAsia" w:ascii="仿宋" w:hAnsi="仿宋" w:eastAsia="仿宋" w:cs="仿宋"/>
          <w:b/>
          <w:bCs/>
          <w:sz w:val="24"/>
          <w:szCs w:val="24"/>
        </w:rPr>
        <w:t>表1：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受调学生所属专业分布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2970"/>
        <w:gridCol w:w="29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</w:t>
            </w:r>
          </w:p>
        </w:tc>
        <w:tc>
          <w:tcPr>
            <w:tcW w:w="297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27.58%</w:t>
            </w:r>
          </w:p>
        </w:tc>
        <w:tc>
          <w:tcPr>
            <w:tcW w:w="297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12.29%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医学影像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2.32%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医学技术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0.58%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13.13%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精神卫生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2.78%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0.42%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预防医学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11.01%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麻醉医学</w:t>
            </w:r>
          </w:p>
        </w:tc>
        <w:tc>
          <w:tcPr>
            <w:tcW w:w="2970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0.23%</w:t>
            </w:r>
          </w:p>
        </w:tc>
        <w:tc>
          <w:tcPr>
            <w:tcW w:w="2970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口腔医学</w:t>
            </w:r>
          </w:p>
        </w:tc>
        <w:tc>
          <w:tcPr>
            <w:tcW w:w="297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16.92%</w:t>
            </w:r>
          </w:p>
        </w:tc>
        <w:tc>
          <w:tcPr>
            <w:tcW w:w="297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0.21%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：课程思政融入专业课学习的接受度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2970"/>
        <w:gridCol w:w="29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2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非常反感</w:t>
            </w:r>
          </w:p>
        </w:tc>
        <w:tc>
          <w:tcPr>
            <w:tcW w:w="297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2.43%</w:t>
            </w:r>
          </w:p>
        </w:tc>
        <w:tc>
          <w:tcPr>
            <w:tcW w:w="297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反感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4.52%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4.17%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无所谓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30.24%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30.83%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接受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95.6%</w:t>
            </w:r>
          </w:p>
        </w:tc>
        <w:tc>
          <w:tcPr>
            <w:tcW w:w="297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96.67%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64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非常接受</w:t>
            </w:r>
          </w:p>
        </w:tc>
        <w:tc>
          <w:tcPr>
            <w:tcW w:w="297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70.57%</w:t>
            </w:r>
          </w:p>
        </w:tc>
        <w:tc>
          <w:tcPr>
            <w:tcW w:w="297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71.25%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：大学生对专业课程融合课程思政的认可度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49"/>
        <w:gridCol w:w="2994"/>
        <w:gridCol w:w="299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5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84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必要性</w:t>
            </w:r>
          </w:p>
        </w:tc>
        <w:tc>
          <w:tcPr>
            <w:tcW w:w="1149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很必要</w:t>
            </w:r>
          </w:p>
        </w:tc>
        <w:tc>
          <w:tcPr>
            <w:tcW w:w="299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50.29%</w:t>
            </w:r>
          </w:p>
        </w:tc>
        <w:tc>
          <w:tcPr>
            <w:tcW w:w="299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47.08%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必要</w:t>
            </w:r>
          </w:p>
        </w:tc>
        <w:tc>
          <w:tcPr>
            <w:tcW w:w="299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41.02%</w:t>
            </w:r>
          </w:p>
        </w:tc>
        <w:tc>
          <w:tcPr>
            <w:tcW w:w="299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46.88%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没必要</w:t>
            </w:r>
          </w:p>
        </w:tc>
        <w:tc>
          <w:tcPr>
            <w:tcW w:w="299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8.69%</w:t>
            </w:r>
          </w:p>
        </w:tc>
        <w:tc>
          <w:tcPr>
            <w:tcW w:w="299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6.04%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84" w:type="dxa"/>
            <w:vMerge w:val="restart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意愿性</w:t>
            </w: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很愿意</w:t>
            </w:r>
          </w:p>
        </w:tc>
        <w:tc>
          <w:tcPr>
            <w:tcW w:w="299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75.43%</w:t>
            </w:r>
          </w:p>
        </w:tc>
        <w:tc>
          <w:tcPr>
            <w:tcW w:w="299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76.25%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愿意</w:t>
            </w:r>
          </w:p>
        </w:tc>
        <w:tc>
          <w:tcPr>
            <w:tcW w:w="2994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22.02%</w:t>
            </w:r>
          </w:p>
        </w:tc>
        <w:tc>
          <w:tcPr>
            <w:tcW w:w="2994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21.88%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84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没意愿</w:t>
            </w:r>
          </w:p>
        </w:tc>
        <w:tc>
          <w:tcPr>
            <w:tcW w:w="2994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2.55%</w:t>
            </w:r>
          </w:p>
        </w:tc>
        <w:tc>
          <w:tcPr>
            <w:tcW w:w="2994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1.88%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：大学生对专业课程融合课程思政形式喜爱度评价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8"/>
        <w:gridCol w:w="2996"/>
        <w:gridCol w:w="299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29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28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理论知识</w:t>
            </w:r>
          </w:p>
        </w:tc>
        <w:tc>
          <w:tcPr>
            <w:tcW w:w="299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69.99%</w:t>
            </w:r>
          </w:p>
        </w:tc>
        <w:tc>
          <w:tcPr>
            <w:tcW w:w="299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71.88%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案例故事</w:t>
            </w:r>
          </w:p>
        </w:tc>
        <w:tc>
          <w:tcPr>
            <w:tcW w:w="29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87.37%</w:t>
            </w:r>
          </w:p>
        </w:tc>
        <w:tc>
          <w:tcPr>
            <w:tcW w:w="29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课堂活动</w:t>
            </w:r>
          </w:p>
        </w:tc>
        <w:tc>
          <w:tcPr>
            <w:tcW w:w="29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60.02%</w:t>
            </w:r>
          </w:p>
        </w:tc>
        <w:tc>
          <w:tcPr>
            <w:tcW w:w="29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57.71%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2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教师点评</w:t>
            </w:r>
          </w:p>
        </w:tc>
        <w:tc>
          <w:tcPr>
            <w:tcW w:w="29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44.38%</w:t>
            </w:r>
          </w:p>
        </w:tc>
        <w:tc>
          <w:tcPr>
            <w:tcW w:w="299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41.67%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28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课堂讨论</w:t>
            </w:r>
          </w:p>
        </w:tc>
        <w:tc>
          <w:tcPr>
            <w:tcW w:w="2996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50.64%</w:t>
            </w:r>
          </w:p>
        </w:tc>
        <w:tc>
          <w:tcPr>
            <w:tcW w:w="2996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47.08%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2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前沿进展</w:t>
            </w:r>
          </w:p>
        </w:tc>
        <w:tc>
          <w:tcPr>
            <w:tcW w:w="2996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51.8%</w:t>
            </w:r>
          </w:p>
        </w:tc>
        <w:tc>
          <w:tcPr>
            <w:tcW w:w="2996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53.75%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：专业课程教学融合课程思政对大学生价值观塑造的影响度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179"/>
        <w:gridCol w:w="1180"/>
        <w:gridCol w:w="1180"/>
        <w:gridCol w:w="1179"/>
        <w:gridCol w:w="1180"/>
        <w:gridCol w:w="11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道德品质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社会主义核心价值观</w:t>
            </w:r>
          </w:p>
        </w:tc>
        <w:tc>
          <w:tcPr>
            <w:tcW w:w="2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医者情怀品质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11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非常小</w:t>
            </w:r>
          </w:p>
        </w:tc>
        <w:tc>
          <w:tcPr>
            <w:tcW w:w="11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6.84%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4.58%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3.48%</w:t>
            </w:r>
          </w:p>
        </w:tc>
        <w:tc>
          <w:tcPr>
            <w:tcW w:w="11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2.08%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3.13%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较小</w:t>
            </w:r>
          </w:p>
        </w:tc>
        <w:tc>
          <w:tcPr>
            <w:tcW w:w="117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14.95%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14.38%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9.15%</w:t>
            </w:r>
          </w:p>
        </w:tc>
        <w:tc>
          <w:tcPr>
            <w:tcW w:w="117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8.33%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9.04%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7.71%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</w:t>
            </w:r>
          </w:p>
        </w:tc>
        <w:tc>
          <w:tcPr>
            <w:tcW w:w="117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55.5%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53.54%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41.37%</w:t>
            </w:r>
          </w:p>
        </w:tc>
        <w:tc>
          <w:tcPr>
            <w:tcW w:w="117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42.5%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37.78%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40.63%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较大</w:t>
            </w:r>
          </w:p>
        </w:tc>
        <w:tc>
          <w:tcPr>
            <w:tcW w:w="117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85.98%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87.29%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92.12%</w:t>
            </w:r>
          </w:p>
        </w:tc>
        <w:tc>
          <w:tcPr>
            <w:tcW w:w="117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91.04%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92.24%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92.08%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非常大</w:t>
            </w:r>
          </w:p>
        </w:tc>
        <w:tc>
          <w:tcPr>
            <w:tcW w:w="117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47.62%</w:t>
            </w:r>
          </w:p>
        </w:tc>
        <w:tc>
          <w:tcPr>
            <w:tcW w:w="118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53.75%</w:t>
            </w:r>
          </w:p>
        </w:tc>
        <w:tc>
          <w:tcPr>
            <w:tcW w:w="118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60.25%</w:t>
            </w:r>
          </w:p>
        </w:tc>
        <w:tc>
          <w:tcPr>
            <w:tcW w:w="117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64.79%</w:t>
            </w:r>
          </w:p>
        </w:tc>
        <w:tc>
          <w:tcPr>
            <w:tcW w:w="118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64.77%</w:t>
            </w:r>
          </w:p>
        </w:tc>
        <w:tc>
          <w:tcPr>
            <w:tcW w:w="118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65.42%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：专业课程教学融合课程思政对大学生价值观塑造的显著度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179"/>
        <w:gridCol w:w="1180"/>
        <w:gridCol w:w="1180"/>
        <w:gridCol w:w="1179"/>
        <w:gridCol w:w="1180"/>
        <w:gridCol w:w="11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增强人生观、价值观、世界观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提振自律、诚信、友善</w:t>
            </w:r>
          </w:p>
        </w:tc>
        <w:tc>
          <w:tcPr>
            <w:tcW w:w="2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激发报国热情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11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显著</w:t>
            </w:r>
          </w:p>
        </w:tc>
        <w:tc>
          <w:tcPr>
            <w:tcW w:w="11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60.25%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65.21%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60.49%</w:t>
            </w:r>
          </w:p>
        </w:tc>
        <w:tc>
          <w:tcPr>
            <w:tcW w:w="11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62.29%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81.46%</w:t>
            </w:r>
          </w:p>
        </w:tc>
        <w:tc>
          <w:tcPr>
            <w:tcW w:w="11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81.04%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</w:t>
            </w:r>
          </w:p>
        </w:tc>
        <w:tc>
          <w:tcPr>
            <w:tcW w:w="117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36.5%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33.54%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35.69%</w:t>
            </w:r>
          </w:p>
        </w:tc>
        <w:tc>
          <w:tcPr>
            <w:tcW w:w="117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35.21%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17.73%</w:t>
            </w:r>
          </w:p>
        </w:tc>
        <w:tc>
          <w:tcPr>
            <w:tcW w:w="1180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18.33%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没有</w:t>
            </w:r>
          </w:p>
        </w:tc>
        <w:tc>
          <w:tcPr>
            <w:tcW w:w="117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3.24%</w:t>
            </w:r>
          </w:p>
        </w:tc>
        <w:tc>
          <w:tcPr>
            <w:tcW w:w="118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1.25%</w:t>
            </w:r>
          </w:p>
        </w:tc>
        <w:tc>
          <w:tcPr>
            <w:tcW w:w="118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3.82%</w:t>
            </w:r>
          </w:p>
        </w:tc>
        <w:tc>
          <w:tcPr>
            <w:tcW w:w="117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2.5%</w:t>
            </w:r>
          </w:p>
        </w:tc>
        <w:tc>
          <w:tcPr>
            <w:tcW w:w="118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0.81%</w:t>
            </w:r>
          </w:p>
        </w:tc>
        <w:tc>
          <w:tcPr>
            <w:tcW w:w="1180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0.63%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：课程背后的故事、规律及其精神对品质塑造的影响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711"/>
        <w:gridCol w:w="371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74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影响度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09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1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371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非常小</w:t>
            </w:r>
          </w:p>
        </w:tc>
        <w:tc>
          <w:tcPr>
            <w:tcW w:w="371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6.84%</w:t>
            </w:r>
          </w:p>
        </w:tc>
        <w:tc>
          <w:tcPr>
            <w:tcW w:w="371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4.58%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较小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14.95%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14.38%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55.5%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53.54%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较大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85.98%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87.29%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非常大</w:t>
            </w:r>
          </w:p>
        </w:tc>
        <w:tc>
          <w:tcPr>
            <w:tcW w:w="3711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47.62%</w:t>
            </w:r>
          </w:p>
        </w:tc>
        <w:tc>
          <w:tcPr>
            <w:tcW w:w="3711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53.75%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：专业课程教学融合课程思政对大学生学习专业课程的影响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77"/>
        <w:gridCol w:w="3038"/>
        <w:gridCol w:w="26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0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学习主动性</w:t>
            </w:r>
          </w:p>
        </w:tc>
        <w:tc>
          <w:tcPr>
            <w:tcW w:w="1477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积极作用</w:t>
            </w:r>
          </w:p>
        </w:tc>
        <w:tc>
          <w:tcPr>
            <w:tcW w:w="3038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50.64%</w:t>
            </w:r>
          </w:p>
        </w:tc>
        <w:tc>
          <w:tcPr>
            <w:tcW w:w="2622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58.54%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不影响</w:t>
            </w:r>
          </w:p>
        </w:tc>
        <w:tc>
          <w:tcPr>
            <w:tcW w:w="30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42.99%</w:t>
            </w:r>
          </w:p>
        </w:tc>
        <w:tc>
          <w:tcPr>
            <w:tcW w:w="262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38.54%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负面作用</w:t>
            </w:r>
          </w:p>
        </w:tc>
        <w:tc>
          <w:tcPr>
            <w:tcW w:w="30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6.37%</w:t>
            </w:r>
          </w:p>
        </w:tc>
        <w:tc>
          <w:tcPr>
            <w:tcW w:w="262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2.92%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学习主观效果</w:t>
            </w: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显著</w:t>
            </w:r>
          </w:p>
        </w:tc>
        <w:tc>
          <w:tcPr>
            <w:tcW w:w="3038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51.68%</w:t>
            </w:r>
          </w:p>
        </w:tc>
        <w:tc>
          <w:tcPr>
            <w:tcW w:w="262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50.21%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</w:t>
            </w:r>
          </w:p>
        </w:tc>
        <w:tc>
          <w:tcPr>
            <w:tcW w:w="3038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44.96%</w:t>
            </w:r>
          </w:p>
        </w:tc>
        <w:tc>
          <w:tcPr>
            <w:tcW w:w="2622" w:type="dxa"/>
            <w:tcBorders>
              <w:top w:val="nil"/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47.08%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没有</w:t>
            </w:r>
          </w:p>
        </w:tc>
        <w:tc>
          <w:tcPr>
            <w:tcW w:w="3038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3.36%</w:t>
            </w:r>
          </w:p>
        </w:tc>
        <w:tc>
          <w:tcPr>
            <w:tcW w:w="2622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2.71%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：专业课程教学融合课程思政对大学生历史与科学素养的拓展影响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711"/>
        <w:gridCol w:w="371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2021-2022-1学期</w:t>
            </w:r>
          </w:p>
        </w:tc>
        <w:tc>
          <w:tcPr>
            <w:tcW w:w="37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2021-2022-2学期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非常小</w:t>
            </w:r>
          </w:p>
        </w:tc>
        <w:tc>
          <w:tcPr>
            <w:tcW w:w="371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3.59%</w:t>
            </w:r>
          </w:p>
        </w:tc>
        <w:tc>
          <w:tcPr>
            <w:tcW w:w="3711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较小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11.82%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7.71%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一般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43.22%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40.63%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9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较大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89.69%</w:t>
            </w:r>
          </w:p>
        </w:tc>
        <w:tc>
          <w:tcPr>
            <w:tcW w:w="3711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92.08%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99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非常大</w:t>
            </w:r>
          </w:p>
        </w:tc>
        <w:tc>
          <w:tcPr>
            <w:tcW w:w="3711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59.68%</w:t>
            </w:r>
          </w:p>
        </w:tc>
        <w:tc>
          <w:tcPr>
            <w:tcW w:w="3711" w:type="dxa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65.42%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M2Y5ZDQ0MjZlNWM2MmU5YmY4ZDk1ZDAxNjliMzMifQ=="/>
  </w:docVars>
  <w:rsids>
    <w:rsidRoot w:val="00000000"/>
    <w:rsid w:val="3F0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2023-10-13T10:42:47Z</dcterms:created>
  <dc:creator>Administrator</dc:creator>
  <cp:lastModifiedBy>我是舒克</cp:lastModifiedBy>
  <dcterms:modified xsi:type="dcterms:W3CDTF">2023-10-13T10:43:42Z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FF222D7512564616B4659064AC01BA9F_12</vt:lpwstr>
  </property>
</Properties>
</file>