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sz w:val="32"/>
          <w:szCs w:val="32"/>
        </w:rPr>
      </w:pPr>
      <w:r>
        <w:rPr>
          <w:rFonts w:hint="eastAsia" w:ascii="方正小标宋_GBK" w:hAnsi="方正小标宋_GBK" w:eastAsia="方正小标宋_GBK" w:cs="方正小标宋_GBK"/>
          <w:b w:val="0"/>
          <w:bCs/>
          <w:sz w:val="36"/>
          <w:szCs w:val="36"/>
          <w:lang w:val="en-US" w:eastAsia="zh-CN"/>
        </w:rPr>
        <w:t>湖北医药学院</w:t>
      </w:r>
      <w:r>
        <w:rPr>
          <w:rFonts w:hint="eastAsia" w:ascii="方正小标宋_GBK" w:hAnsi="方正小标宋_GBK" w:eastAsia="方正小标宋_GBK" w:cs="方正小标宋_GBK"/>
          <w:b w:val="0"/>
          <w:bCs/>
          <w:sz w:val="36"/>
          <w:szCs w:val="36"/>
        </w:rPr>
        <w:t>课程思政建设</w:t>
      </w:r>
      <w:r>
        <w:rPr>
          <w:rFonts w:hint="eastAsia" w:ascii="方正小标宋_GBK" w:hAnsi="方正小标宋_GBK" w:eastAsia="方正小标宋_GBK" w:cs="方正小标宋_GBK"/>
          <w:b w:val="0"/>
          <w:bCs/>
          <w:sz w:val="36"/>
          <w:szCs w:val="36"/>
          <w:lang w:val="en-US" w:eastAsia="zh-CN"/>
        </w:rPr>
        <w:t>实施</w:t>
      </w:r>
      <w:r>
        <w:rPr>
          <w:rFonts w:hint="eastAsia" w:ascii="方正小标宋_GBK" w:hAnsi="方正小标宋_GBK" w:eastAsia="方正小标宋_GBK" w:cs="方正小标宋_GBK"/>
          <w:b w:val="0"/>
          <w:bCs/>
          <w:sz w:val="36"/>
          <w:szCs w:val="36"/>
        </w:rPr>
        <w:t>方案</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color w:val="333333"/>
          <w:kern w:val="0"/>
          <w:sz w:val="24"/>
          <w:szCs w:val="24"/>
        </w:rPr>
        <w:t>为</w:t>
      </w:r>
      <w:r>
        <w:rPr>
          <w:rFonts w:hint="eastAsia" w:ascii="仿宋" w:hAnsi="仿宋" w:eastAsia="仿宋" w:cs="仿宋"/>
          <w:color w:val="333333"/>
          <w:spacing w:val="6"/>
          <w:kern w:val="0"/>
          <w:sz w:val="24"/>
          <w:szCs w:val="24"/>
        </w:rPr>
        <w:t>深入学习贯彻习近平总书记关于教育的重要论述和全国、全省教育大会精神，根据教育部《高等学校课程思政建设指导纲要》（教高[2020]3号）和《关于深入推进高校课程思政建设》（教高[2021] 19号）等文件要求，</w:t>
      </w:r>
      <w:r>
        <w:rPr>
          <w:rFonts w:hint="eastAsia" w:ascii="仿宋" w:hAnsi="仿宋" w:eastAsia="仿宋" w:cs="仿宋"/>
          <w:spacing w:val="6"/>
          <w:sz w:val="24"/>
          <w:szCs w:val="24"/>
        </w:rPr>
        <w:t>充分发挥课堂主渠道在高校思想政治工作中的育人作用，有效推进学校“课程思政”工作深入开展，促进思政教育和专业教育的有机融合，结合学校实际，特制定本实施方案。</w:t>
      </w:r>
      <w:r>
        <w:rPr>
          <w:rFonts w:hint="eastAsia" w:ascii="仿宋" w:hAnsi="仿宋" w:eastAsia="仿宋" w:cs="仿宋"/>
          <w:sz w:val="24"/>
          <w:szCs w:val="24"/>
        </w:rPr>
        <w:t xml:space="preserve"> </w:t>
      </w:r>
    </w:p>
    <w:p>
      <w:pPr>
        <w:pStyle w:val="5"/>
        <w:keepNext w:val="0"/>
        <w:keepLines w:val="0"/>
        <w:pageBreakBefore w:val="0"/>
        <w:numPr>
          <w:ilvl w:val="0"/>
          <w:numId w:val="0"/>
        </w:numPr>
        <w:kinsoku/>
        <w:wordWrap/>
        <w:overflowPunct/>
        <w:topLinePunct w:val="0"/>
        <w:autoSpaceDE/>
        <w:autoSpaceDN/>
        <w:bidi w:val="0"/>
        <w:adjustRightInd/>
        <w:snapToGrid/>
        <w:spacing w:line="500" w:lineRule="exact"/>
        <w:ind w:leftChars="200"/>
        <w:textAlignment w:val="auto"/>
        <w:outlineLvl w:val="9"/>
        <w:rPr>
          <w:rFonts w:hint="eastAsia" w:ascii="仿宋" w:hAnsi="仿宋" w:eastAsia="仿宋" w:cs="仿宋"/>
          <w:b/>
          <w:bCs/>
          <w:sz w:val="24"/>
          <w:szCs w:val="24"/>
        </w:rPr>
      </w:pPr>
      <w:bookmarkStart w:id="0" w:name="_Toc13577_WPSOffice_Level1"/>
      <w:bookmarkStart w:id="1" w:name="_Toc8012_WPSOffice_Level1"/>
      <w:bookmarkStart w:id="2" w:name="_Toc14618_WPSOffice_Level1"/>
      <w:bookmarkStart w:id="3" w:name="_Toc15383_WPSOffice_Level1"/>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指导思想</w:t>
      </w:r>
      <w:bookmarkEnd w:id="0"/>
      <w:bookmarkEnd w:id="1"/>
      <w:bookmarkEnd w:id="2"/>
      <w:bookmarkEnd w:id="3"/>
      <w:r>
        <w:rPr>
          <w:rFonts w:hint="eastAsia" w:ascii="仿宋" w:hAnsi="仿宋" w:eastAsia="仿宋" w:cs="仿宋"/>
          <w:b/>
          <w:bCs/>
          <w:sz w:val="24"/>
          <w:szCs w:val="24"/>
        </w:rPr>
        <w:t xml:space="preserve"> </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outlineLvl w:val="9"/>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以习近平新时代中国特色社会主义思想为指导，全面贯彻党的教育方针，坚持社会主义办学方向，落实立德树人根本任务。把思想政治教育贯穿人才培养体系，发挥好教师队伍“主力军”、课程建设“主战场”、课堂教学“主渠道”作用，深入挖掘各类课程、各培养环节的育人功能，形成育人合力，全面提高人才培养质量。</w:t>
      </w:r>
    </w:p>
    <w:p>
      <w:pPr>
        <w:pStyle w:val="5"/>
        <w:keepNext w:val="0"/>
        <w:keepLines w:val="0"/>
        <w:pageBreakBefore w:val="0"/>
        <w:numPr>
          <w:ilvl w:val="0"/>
          <w:numId w:val="0"/>
        </w:numPr>
        <w:kinsoku/>
        <w:wordWrap/>
        <w:overflowPunct/>
        <w:topLinePunct w:val="0"/>
        <w:autoSpaceDE/>
        <w:autoSpaceDN/>
        <w:bidi w:val="0"/>
        <w:adjustRightInd/>
        <w:snapToGrid/>
        <w:spacing w:line="500" w:lineRule="exact"/>
        <w:ind w:leftChars="200"/>
        <w:textAlignment w:val="auto"/>
        <w:outlineLvl w:val="9"/>
        <w:rPr>
          <w:rFonts w:hint="eastAsia" w:ascii="仿宋" w:hAnsi="仿宋" w:eastAsia="仿宋" w:cs="仿宋"/>
          <w:b/>
          <w:bCs/>
          <w:sz w:val="24"/>
          <w:szCs w:val="24"/>
        </w:rPr>
      </w:pPr>
      <w:bookmarkStart w:id="4" w:name="_Toc3924_WPSOffice_Level1"/>
      <w:bookmarkStart w:id="5" w:name="_Toc13625_WPSOffice_Level1"/>
      <w:bookmarkStart w:id="6" w:name="_Toc723_WPSOffice_Level1"/>
      <w:bookmarkStart w:id="7" w:name="_Toc30213_WPSOffice_Level1"/>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建设目标</w:t>
      </w:r>
      <w:bookmarkEnd w:id="4"/>
      <w:bookmarkEnd w:id="5"/>
      <w:bookmarkEnd w:id="6"/>
      <w:bookmarkEnd w:id="7"/>
      <w:r>
        <w:rPr>
          <w:rFonts w:hint="eastAsia" w:ascii="仿宋" w:hAnsi="仿宋" w:eastAsia="仿宋" w:cs="仿宋"/>
          <w:b/>
          <w:bCs/>
          <w:sz w:val="24"/>
          <w:szCs w:val="24"/>
        </w:rPr>
        <w:t xml:space="preserve"> </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outlineLvl w:val="9"/>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以三全五育为引领，坚持“尚医德、崇人文、厚基础、重实践”的人才培养特色，培养具有良好医学、科学和人文素养的适用型医学人才。指导和推进学校、院系、教师不同层面的课程思政建设机制，培育一批专业知识与思政元素深度融合的示范课程；培养一批师德高尚、教学能力突出的课程思政教学名师和团队；探索基于不同类别、学科的课程思政建设方法路径，形成一套特色鲜明的专业思政素材库和科学有效的课程思政建设和评价体系；聚焦课程思政教学实践和理论研究，开展课程思政建设和交流活动，培育一批专业特色鲜明、具有推广价值的经验做法的高质量研究成果。</w:t>
      </w:r>
    </w:p>
    <w:p>
      <w:pPr>
        <w:pStyle w:val="5"/>
        <w:keepNext w:val="0"/>
        <w:keepLines w:val="0"/>
        <w:pageBreakBefore w:val="0"/>
        <w:numPr>
          <w:ilvl w:val="0"/>
          <w:numId w:val="0"/>
        </w:numPr>
        <w:kinsoku/>
        <w:wordWrap/>
        <w:overflowPunct/>
        <w:topLinePunct w:val="0"/>
        <w:autoSpaceDE/>
        <w:autoSpaceDN/>
        <w:bidi w:val="0"/>
        <w:adjustRightInd/>
        <w:snapToGrid/>
        <w:spacing w:line="500" w:lineRule="exact"/>
        <w:ind w:leftChars="200"/>
        <w:textAlignment w:val="auto"/>
        <w:outlineLvl w:val="9"/>
        <w:rPr>
          <w:rFonts w:hint="eastAsia" w:ascii="仿宋" w:hAnsi="仿宋" w:eastAsia="仿宋" w:cs="仿宋"/>
          <w:b/>
          <w:bCs/>
          <w:sz w:val="24"/>
          <w:szCs w:val="24"/>
        </w:rPr>
      </w:pPr>
      <w:bookmarkStart w:id="8" w:name="_Toc9008_WPSOffice_Level1"/>
      <w:bookmarkStart w:id="9" w:name="_Toc1329_WPSOffice_Level1"/>
      <w:bookmarkStart w:id="10" w:name="_Toc15726_WPSOffice_Level1"/>
      <w:bookmarkStart w:id="11" w:name="_Toc27682_WPSOffice_Level1"/>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建设内容</w:t>
      </w:r>
      <w:bookmarkEnd w:id="8"/>
      <w:bookmarkEnd w:id="9"/>
      <w:bookmarkEnd w:id="10"/>
      <w:bookmarkEnd w:id="11"/>
    </w:p>
    <w:p>
      <w:pPr>
        <w:pStyle w:val="5"/>
        <w:keepNext w:val="0"/>
        <w:keepLines w:val="0"/>
        <w:pageBreakBefore w:val="0"/>
        <w:kinsoku/>
        <w:wordWrap/>
        <w:overflowPunct/>
        <w:topLinePunct w:val="0"/>
        <w:autoSpaceDE/>
        <w:autoSpaceDN/>
        <w:bidi w:val="0"/>
        <w:adjustRightInd/>
        <w:snapToGrid/>
        <w:spacing w:line="500" w:lineRule="exact"/>
        <w:ind w:left="0" w:firstLine="482" w:firstLineChars="200"/>
        <w:textAlignment w:val="auto"/>
        <w:outlineLvl w:val="9"/>
        <w:rPr>
          <w:rFonts w:hint="eastAsia" w:ascii="仿宋" w:hAnsi="仿宋" w:eastAsia="仿宋" w:cs="仿宋"/>
          <w:color w:val="333333"/>
          <w:kern w:val="0"/>
          <w:sz w:val="24"/>
          <w:szCs w:val="24"/>
          <w:lang w:val="en-US" w:eastAsia="zh-CN" w:bidi="ar-SA"/>
        </w:rPr>
      </w:pPr>
      <w:r>
        <w:rPr>
          <w:rFonts w:hint="eastAsia" w:ascii="仿宋" w:hAnsi="仿宋" w:eastAsia="仿宋" w:cs="仿宋"/>
          <w:b/>
          <w:color w:val="333333"/>
          <w:kern w:val="0"/>
          <w:sz w:val="24"/>
          <w:szCs w:val="24"/>
        </w:rPr>
        <w:t>（一）成立课程思政建设领导小组。</w:t>
      </w:r>
      <w:r>
        <w:rPr>
          <w:rFonts w:hint="eastAsia" w:ascii="仿宋" w:hAnsi="仿宋" w:eastAsia="仿宋" w:cs="仿宋"/>
          <w:color w:val="333333"/>
          <w:kern w:val="0"/>
          <w:sz w:val="24"/>
          <w:szCs w:val="24"/>
          <w:lang w:val="en-US" w:eastAsia="zh-CN" w:bidi="ar-SA"/>
        </w:rPr>
        <w:t>高校课程思政工作是一项系统工程，必须加强组织领导。成立湖北医药学院课程思政建设工作领导小组，由校长、分管教学的副校长、教务处、教师发展中心、财务处、人事处、各二级学院负责人等相关人员组成，研究部署学校课程思政建设工作，审定学校课程思政建设工作方案和制度，研究解决工作中需要解决的重大问题。</w:t>
      </w:r>
    </w:p>
    <w:p>
      <w:pPr>
        <w:keepNext w:val="0"/>
        <w:keepLines w:val="0"/>
        <w:pageBreakBefore w:val="0"/>
        <w:kinsoku/>
        <w:wordWrap/>
        <w:overflowPunct/>
        <w:topLinePunct w:val="0"/>
        <w:autoSpaceDE/>
        <w:autoSpaceDN/>
        <w:bidi w:val="0"/>
        <w:adjustRightInd/>
        <w:snapToGrid/>
        <w:spacing w:line="500" w:lineRule="exact"/>
        <w:ind w:left="0" w:firstLine="482" w:firstLineChars="200"/>
        <w:textAlignment w:val="auto"/>
        <w:outlineLvl w:val="9"/>
        <w:rPr>
          <w:rFonts w:hint="eastAsia" w:ascii="仿宋" w:hAnsi="仿宋" w:eastAsia="仿宋" w:cs="仿宋"/>
          <w:color w:val="333333"/>
          <w:kern w:val="0"/>
          <w:sz w:val="24"/>
          <w:szCs w:val="24"/>
        </w:rPr>
      </w:pPr>
      <w:r>
        <w:rPr>
          <w:rFonts w:hint="eastAsia" w:ascii="仿宋" w:hAnsi="仿宋" w:eastAsia="仿宋" w:cs="仿宋"/>
          <w:b/>
          <w:sz w:val="24"/>
          <w:szCs w:val="24"/>
        </w:rPr>
        <w:t>（二）成立课程思政研究中心。</w:t>
      </w:r>
      <w:r>
        <w:rPr>
          <w:rFonts w:hint="eastAsia" w:ascii="仿宋" w:hAnsi="仿宋" w:eastAsia="仿宋" w:cs="仿宋"/>
          <w:color w:val="333333"/>
          <w:kern w:val="0"/>
          <w:sz w:val="24"/>
          <w:szCs w:val="24"/>
        </w:rPr>
        <w:t>成立湖北医药学院课程思政教学研究中心，挂靠教务处。中心主要负责贯彻执行、组织落实领导小组决策，聚焦课程思政教学实践和理论研究两大主责，重点开展课程思政开发设计、师资培训、教学研究、质量评估、推广交流等五项主要工作任务。</w:t>
      </w:r>
    </w:p>
    <w:p>
      <w:pPr>
        <w:keepNext w:val="0"/>
        <w:keepLines w:val="0"/>
        <w:pageBreakBefore w:val="0"/>
        <w:kinsoku/>
        <w:wordWrap/>
        <w:overflowPunct/>
        <w:topLinePunct w:val="0"/>
        <w:autoSpaceDE/>
        <w:autoSpaceDN/>
        <w:bidi w:val="0"/>
        <w:adjustRightInd/>
        <w:snapToGrid/>
        <w:spacing w:line="500" w:lineRule="exact"/>
        <w:ind w:left="0" w:firstLine="482" w:firstLineChars="200"/>
        <w:textAlignment w:val="auto"/>
        <w:outlineLvl w:val="9"/>
        <w:rPr>
          <w:rFonts w:hint="eastAsia" w:ascii="仿宋" w:hAnsi="仿宋" w:eastAsia="仿宋" w:cs="仿宋"/>
          <w:color w:val="333333"/>
          <w:kern w:val="0"/>
          <w:sz w:val="24"/>
          <w:szCs w:val="24"/>
        </w:rPr>
      </w:pPr>
      <w:r>
        <w:rPr>
          <w:rFonts w:hint="eastAsia" w:ascii="仿宋" w:hAnsi="仿宋" w:eastAsia="仿宋" w:cs="仿宋"/>
          <w:b/>
          <w:sz w:val="24"/>
          <w:szCs w:val="24"/>
        </w:rPr>
        <w:t>（三）组建课程思政专家团队。</w:t>
      </w:r>
      <w:r>
        <w:rPr>
          <w:rFonts w:hint="eastAsia" w:ascii="仿宋" w:hAnsi="仿宋" w:eastAsia="仿宋" w:cs="仿宋"/>
          <w:color w:val="333333"/>
          <w:kern w:val="0"/>
          <w:sz w:val="24"/>
          <w:szCs w:val="24"/>
        </w:rPr>
        <w:t>专家由省级以上一流课程、课程思政示范课程负责人、思政课部教授等组成，负责指导二级学院各门课程思政元素的挖掘和资源库建设、课程思政示范课程评审与选树，并通过线上与线下相结合的混合式培训模式，在学校开展常态化的课程思政研讨培训包括专家培训、校内名师分享、小组研讨等。</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firstLine="482" w:firstLineChars="200"/>
        <w:jc w:val="both"/>
        <w:textAlignment w:val="auto"/>
        <w:outlineLvl w:val="9"/>
        <w:rPr>
          <w:rFonts w:hint="eastAsia" w:ascii="仿宋" w:hAnsi="仿宋" w:eastAsia="仿宋" w:cs="仿宋"/>
          <w:color w:val="333333"/>
          <w:kern w:val="0"/>
          <w:sz w:val="24"/>
          <w:szCs w:val="24"/>
          <w:lang w:val="en-US" w:eastAsia="zh-CN" w:bidi="ar-SA"/>
        </w:rPr>
      </w:pPr>
      <w:r>
        <w:rPr>
          <w:rFonts w:hint="eastAsia" w:ascii="仿宋" w:hAnsi="仿宋" w:eastAsia="仿宋" w:cs="仿宋"/>
          <w:b/>
          <w:sz w:val="24"/>
          <w:szCs w:val="24"/>
        </w:rPr>
        <w:t>（四）组建课程思政元素资源库。</w:t>
      </w:r>
      <w:r>
        <w:rPr>
          <w:rFonts w:hint="eastAsia" w:ascii="仿宋" w:hAnsi="仿宋" w:eastAsia="仿宋" w:cs="仿宋"/>
          <w:color w:val="333333"/>
          <w:kern w:val="0"/>
          <w:sz w:val="24"/>
          <w:szCs w:val="24"/>
          <w:lang w:val="en-US" w:eastAsia="zh-CN" w:bidi="ar-SA"/>
        </w:rPr>
        <w:t>科学构建公共基础课、专业课、实践课、医学类课程“四位一体”，分层次、立体化、有特色的课程思政元素资源库。公共基础课主要以提高学生思想道德修养、人文素质、科学精神、宪法法治意识、国家安全意识和认知能力为主，帮助学生增强体质，健全人格，锤炼意志，增强法治意识，提升审美能力。专业课以培育科学精神、爱国情怀和职业素养为主线，实现科学素养与人文素养同步提升。实践类课程中安排专业实验实践课程、创新创业教育课程、社会实践类课程和劳动教育课程，注重学思结合、知行合一，在劳动中培养学生求真务实，吃苦耐劳的优秀品质，增强创新精神和创造意识。医学相关课程加强医师执业法制教育、纪律教育、警示教育，既结合我校及附属医院的抗疫生动实践，也深度搜集、挖掘中医史、西医史中大医、名医的精诚感人故事，引导学生坚定职业理想、严谨求实、精益求精和仁心仁术。</w:t>
      </w:r>
    </w:p>
    <w:p>
      <w:pPr>
        <w:keepNext w:val="0"/>
        <w:keepLines w:val="0"/>
        <w:pageBreakBefore w:val="0"/>
        <w:kinsoku/>
        <w:wordWrap/>
        <w:overflowPunct/>
        <w:topLinePunct w:val="0"/>
        <w:autoSpaceDE/>
        <w:autoSpaceDN/>
        <w:bidi w:val="0"/>
        <w:adjustRightInd/>
        <w:snapToGrid/>
        <w:spacing w:line="500" w:lineRule="exact"/>
        <w:ind w:left="0" w:firstLine="482" w:firstLineChars="200"/>
        <w:textAlignment w:val="auto"/>
        <w:outlineLvl w:val="9"/>
        <w:rPr>
          <w:rFonts w:hint="eastAsia" w:ascii="仿宋" w:hAnsi="仿宋" w:eastAsia="仿宋" w:cs="仿宋"/>
          <w:sz w:val="24"/>
          <w:szCs w:val="24"/>
        </w:rPr>
      </w:pPr>
      <w:r>
        <w:rPr>
          <w:rFonts w:hint="eastAsia" w:ascii="仿宋" w:hAnsi="仿宋" w:eastAsia="仿宋" w:cs="仿宋"/>
          <w:b/>
          <w:sz w:val="24"/>
          <w:szCs w:val="24"/>
        </w:rPr>
        <w:t>（五）搭建课程思政展示平台。</w:t>
      </w:r>
      <w:r>
        <w:rPr>
          <w:rFonts w:hint="eastAsia" w:ascii="仿宋" w:hAnsi="仿宋" w:eastAsia="仿宋" w:cs="仿宋"/>
          <w:sz w:val="24"/>
          <w:szCs w:val="24"/>
        </w:rPr>
        <w:t>平台分为课程思政资源中心和课程思政成果展示交流平台等。课程思政资源中心通过引入校外课程思政教学示范案例、汇聚本校优质课程思政案例，帮助教师更深入理解如何将思想政治教育元素融入到各类学科的课程中，推进学校课程思政教育内容建设。课程思政成果展示平台将全面展示学校的课程思政示范课程、教学名师、团队以及课程思政相关的理论研究、最新动态，在校内外形成示范效应，促进课程思政领域的校内外合作交流。</w:t>
      </w:r>
    </w:p>
    <w:p>
      <w:pPr>
        <w:keepNext w:val="0"/>
        <w:keepLines w:val="0"/>
        <w:pageBreakBefore w:val="0"/>
        <w:kinsoku/>
        <w:wordWrap/>
        <w:overflowPunct/>
        <w:topLinePunct w:val="0"/>
        <w:autoSpaceDE/>
        <w:autoSpaceDN/>
        <w:bidi w:val="0"/>
        <w:adjustRightInd/>
        <w:snapToGrid/>
        <w:spacing w:line="500" w:lineRule="exact"/>
        <w:ind w:left="0" w:firstLine="482" w:firstLineChars="200"/>
        <w:textAlignment w:val="auto"/>
        <w:outlineLvl w:val="9"/>
        <w:rPr>
          <w:rFonts w:hint="eastAsia" w:ascii="仿宋" w:hAnsi="仿宋" w:eastAsia="仿宋" w:cs="仿宋"/>
          <w:color w:val="333333"/>
          <w:kern w:val="0"/>
          <w:sz w:val="24"/>
          <w:szCs w:val="24"/>
        </w:rPr>
      </w:pPr>
      <w:r>
        <w:rPr>
          <w:rFonts w:hint="eastAsia" w:ascii="仿宋" w:hAnsi="仿宋" w:eastAsia="仿宋" w:cs="仿宋"/>
          <w:b/>
          <w:sz w:val="24"/>
          <w:szCs w:val="24"/>
        </w:rPr>
        <w:t>（六）培育课程思政示范项目</w:t>
      </w:r>
      <w:r>
        <w:rPr>
          <w:rFonts w:hint="eastAsia" w:ascii="仿宋" w:hAnsi="仿宋" w:eastAsia="仿宋" w:cs="仿宋"/>
          <w:b/>
          <w:color w:val="333333"/>
          <w:kern w:val="0"/>
          <w:sz w:val="24"/>
          <w:szCs w:val="24"/>
        </w:rPr>
        <w:t>。</w:t>
      </w:r>
      <w:r>
        <w:rPr>
          <w:rFonts w:hint="eastAsia" w:ascii="仿宋" w:hAnsi="仿宋" w:eastAsia="仿宋" w:cs="仿宋"/>
          <w:color w:val="333333"/>
          <w:kern w:val="0"/>
          <w:sz w:val="24"/>
          <w:szCs w:val="24"/>
        </w:rPr>
        <w:t>认真梳理课程教学内容，结合不同课程特点、思维方法和价值理念，深入挖掘各门课程思政元素，围绕政治认同、家国情怀、文化素养、法治意识、医德医风、职业理想和道德等重点内容，有机融入课程教学，从改革教学内容、教学方法、教学考核等方面开展课程思政建设，在校级及以上层面上重点推出一批课程思政示范学院、示范课程、示范团队和示范个人，并充分发挥其榜样示范作用。基本要求如下：</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outlineLvl w:val="9"/>
        <w:rPr>
          <w:rFonts w:hint="eastAsia" w:ascii="仿宋" w:hAnsi="仿宋" w:eastAsia="仿宋" w:cs="仿宋"/>
          <w:color w:val="333333"/>
          <w:sz w:val="24"/>
          <w:szCs w:val="24"/>
        </w:rPr>
      </w:pPr>
      <w:r>
        <w:rPr>
          <w:rFonts w:hint="eastAsia" w:ascii="仿宋" w:hAnsi="仿宋" w:eastAsia="仿宋" w:cs="仿宋"/>
          <w:color w:val="333333"/>
          <w:sz w:val="24"/>
          <w:szCs w:val="24"/>
        </w:rPr>
        <w:t>1.创新课堂教学方式。统筹线上线下教学资源，大力推进混合式、问题式、案例式教学改革，通过PPT、视频、动画等形式，深入阐释课程中蕴含的思政元素，教育引导学生形成正确的世界观、人生观、价值观，实现知识传授与价值塑造、能力提升相统一。组织学生积极开展参与式、研讨式、探究式学习，通过教学方式的改革，强化课程育人实效。广泛组织开展大讲堂、社会实践、志愿服务等活动，深入挖掘第二课堂的思政元素，将“读万卷书”与“行万里路”相结合，构建双课堂协同育人机制。</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outlineLvl w:val="9"/>
        <w:rPr>
          <w:rFonts w:hint="eastAsia" w:ascii="仿宋" w:hAnsi="仿宋" w:eastAsia="仿宋" w:cs="仿宋"/>
          <w:color w:val="333333"/>
          <w:sz w:val="24"/>
          <w:szCs w:val="24"/>
        </w:rPr>
      </w:pPr>
      <w:r>
        <w:rPr>
          <w:rFonts w:hint="eastAsia" w:ascii="仿宋" w:hAnsi="仿宋" w:eastAsia="仿宋" w:cs="仿宋"/>
          <w:color w:val="333333"/>
          <w:sz w:val="24"/>
          <w:szCs w:val="24"/>
        </w:rPr>
        <w:t xml:space="preserve">2.改革课程考核方式。针对课程思政育人目标，深化学业评价改革，结合知识点将学生的政治思想、精神素养、道德情怀、价值判断、团队精神等纳入课程考核范畴，注意考察学生的认知、态度和情感。将课程思政考核落实到课堂测试、课后作业、中期检查、期末考试中，通过案例分析、情景设计、论述问答等方式，合理设计考核题目，强化职业素养、社会责任等内容考核。 </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outlineLvl w:val="9"/>
        <w:rPr>
          <w:rFonts w:hint="eastAsia" w:ascii="仿宋" w:hAnsi="仿宋" w:eastAsia="仿宋" w:cs="仿宋"/>
          <w:color w:val="333333"/>
          <w:sz w:val="24"/>
          <w:szCs w:val="24"/>
        </w:rPr>
      </w:pPr>
      <w:r>
        <w:rPr>
          <w:rFonts w:hint="eastAsia" w:ascii="仿宋" w:hAnsi="仿宋" w:eastAsia="仿宋" w:cs="仿宋"/>
          <w:color w:val="333333"/>
          <w:sz w:val="24"/>
          <w:szCs w:val="24"/>
        </w:rPr>
        <w:t>3.用好“互联网+”模式。深入推进现代信息技术在课程思政教学中的应用，用好网络语言、网络手段、网络文化，增强课程思政的传播力、吸引力和感召力，以大学生喜闻乐见的表现形式、易于接受的话语体系，在潜移默化中达到思想政治教育效果。利用课程思政示范平台，充分利用信息技术手段，促进优质课程思政资源共建共享。</w:t>
      </w:r>
    </w:p>
    <w:p>
      <w:pPr>
        <w:pStyle w:val="5"/>
        <w:keepNext w:val="0"/>
        <w:keepLines w:val="0"/>
        <w:pageBreakBefore w:val="0"/>
        <w:numPr>
          <w:ilvl w:val="0"/>
          <w:numId w:val="0"/>
        </w:numPr>
        <w:kinsoku/>
        <w:wordWrap/>
        <w:overflowPunct/>
        <w:topLinePunct w:val="0"/>
        <w:autoSpaceDE/>
        <w:autoSpaceDN/>
        <w:bidi w:val="0"/>
        <w:adjustRightInd/>
        <w:snapToGrid/>
        <w:spacing w:line="500" w:lineRule="exact"/>
        <w:ind w:leftChars="200"/>
        <w:textAlignment w:val="auto"/>
        <w:outlineLvl w:val="9"/>
        <w:rPr>
          <w:rFonts w:hint="eastAsia" w:ascii="仿宋" w:hAnsi="仿宋" w:eastAsia="仿宋" w:cs="仿宋"/>
          <w:b/>
          <w:bCs/>
          <w:sz w:val="24"/>
          <w:szCs w:val="24"/>
        </w:rPr>
      </w:pPr>
      <w:bookmarkStart w:id="12" w:name="_Toc4948_WPSOffice_Level1"/>
      <w:bookmarkStart w:id="13" w:name="_Toc1313_WPSOffice_Level1"/>
      <w:bookmarkStart w:id="14" w:name="_Toc9642_WPSOffice_Level1"/>
      <w:bookmarkStart w:id="15" w:name="_Toc32433_WPSOffice_Level1"/>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保障措施</w:t>
      </w:r>
      <w:bookmarkEnd w:id="12"/>
      <w:bookmarkEnd w:id="13"/>
      <w:bookmarkEnd w:id="14"/>
      <w:bookmarkEnd w:id="15"/>
      <w:r>
        <w:rPr>
          <w:rFonts w:hint="eastAsia" w:ascii="仿宋" w:hAnsi="仿宋" w:eastAsia="仿宋" w:cs="仿宋"/>
          <w:b/>
          <w:bCs/>
          <w:sz w:val="24"/>
          <w:szCs w:val="24"/>
        </w:rPr>
        <w:t xml:space="preserve">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textAlignment w:val="auto"/>
        <w:outlineLvl w:val="9"/>
        <w:rPr>
          <w:rFonts w:hint="eastAsia" w:ascii="仿宋" w:hAnsi="仿宋" w:eastAsia="仿宋" w:cs="仿宋"/>
          <w:color w:val="333333"/>
          <w:kern w:val="0"/>
          <w:sz w:val="24"/>
          <w:szCs w:val="24"/>
        </w:rPr>
      </w:pPr>
      <w:r>
        <w:rPr>
          <w:rFonts w:hint="eastAsia" w:ascii="仿宋" w:hAnsi="仿宋" w:eastAsia="仿宋" w:cs="仿宋"/>
          <w:b/>
          <w:color w:val="333333"/>
          <w:kern w:val="0"/>
          <w:sz w:val="24"/>
          <w:szCs w:val="24"/>
        </w:rPr>
        <w:t>（一）强化支持保障</w:t>
      </w:r>
      <w:r>
        <w:rPr>
          <w:rFonts w:hint="eastAsia" w:ascii="仿宋" w:hAnsi="仿宋" w:eastAsia="仿宋" w:cs="仿宋"/>
          <w:color w:val="333333"/>
          <w:kern w:val="0"/>
          <w:sz w:val="24"/>
          <w:szCs w:val="24"/>
        </w:rPr>
        <w:t>。学校在规划制定、学科专业建设、教师培训等方面，要高度重视课程思政建设，统筹各类资源，加大对课程思政建设的支持力度。课程思政示范课程奖励级别等同于一流课程。学校设立专项经费保障“课程思政”教育教学改革稳步推进。通过项目形式对“课程思政”工作提供资助，并根据考核结果实施动态管理，确保专项建设项目顺利实施。</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仿宋" w:hAnsi="仿宋" w:eastAsia="仿宋" w:cs="仿宋"/>
          <w:color w:val="333333"/>
          <w:kern w:val="0"/>
          <w:sz w:val="24"/>
          <w:szCs w:val="24"/>
        </w:rPr>
      </w:pPr>
      <w:r>
        <w:rPr>
          <w:rFonts w:hint="eastAsia" w:ascii="仿宋" w:hAnsi="仿宋" w:eastAsia="仿宋" w:cs="仿宋"/>
          <w:b/>
          <w:color w:val="333333"/>
          <w:kern w:val="0"/>
          <w:sz w:val="24"/>
          <w:szCs w:val="24"/>
        </w:rPr>
        <w:t>（二）强化宣传引导。</w:t>
      </w:r>
      <w:r>
        <w:rPr>
          <w:rFonts w:hint="eastAsia" w:ascii="仿宋" w:hAnsi="仿宋" w:eastAsia="仿宋" w:cs="仿宋"/>
          <w:color w:val="333333"/>
          <w:kern w:val="0"/>
          <w:sz w:val="24"/>
          <w:szCs w:val="24"/>
        </w:rPr>
        <w:t>各二级学院要加强组织领导，组建专家团队，深入挖掘各门课程中蕴含的思政元素、课程思政建设先进典型，充分利用各级融媒体、客户端进行宣传推介，为课程思政建设营造良好舆论氛围，引导激发广大教师教书育人的使命感、责任感，切实将全员全过程全方位育人落到实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仿宋" w:hAnsi="仿宋" w:eastAsia="仿宋" w:cs="仿宋"/>
          <w:color w:val="333333"/>
          <w:sz w:val="24"/>
          <w:szCs w:val="24"/>
        </w:rPr>
      </w:pPr>
      <w:r>
        <w:rPr>
          <w:rFonts w:hint="eastAsia" w:ascii="仿宋" w:hAnsi="仿宋" w:eastAsia="仿宋" w:cs="仿宋"/>
          <w:b/>
          <w:color w:val="333333"/>
          <w:sz w:val="24"/>
          <w:szCs w:val="24"/>
        </w:rPr>
        <w:t>（三）强化教学能力培训。</w:t>
      </w:r>
      <w:r>
        <w:rPr>
          <w:rFonts w:hint="eastAsia" w:ascii="仿宋" w:hAnsi="仿宋" w:eastAsia="仿宋" w:cs="仿宋"/>
          <w:color w:val="333333"/>
          <w:sz w:val="24"/>
          <w:szCs w:val="24"/>
        </w:rPr>
        <w:t>通过专家培训、校内名师分享、小组研讨等形式，分区域、分学科专业领域开展典型经验交流，提升教师课程思政教学能力。各学院制定教师课程思政建设培养培训规划，将课程思政纳入教师岗前培训、日常培训和师德师风、教学能力专题培训，坚持和完善实践锻炼、外出学习考察和专业教师兼任班主任、辅导员、学业导师等制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仿宋" w:hAnsi="仿宋" w:eastAsia="仿宋" w:cs="仿宋"/>
          <w:color w:val="333333"/>
          <w:sz w:val="24"/>
          <w:szCs w:val="24"/>
        </w:rPr>
      </w:pPr>
      <w:r>
        <w:rPr>
          <w:rFonts w:hint="eastAsia" w:ascii="仿宋" w:hAnsi="仿宋" w:eastAsia="仿宋" w:cs="仿宋"/>
          <w:b/>
          <w:color w:val="333333"/>
          <w:sz w:val="24"/>
          <w:szCs w:val="24"/>
        </w:rPr>
        <w:t>（四）强化考核评价。</w:t>
      </w:r>
      <w:r>
        <w:rPr>
          <w:rFonts w:hint="eastAsia" w:ascii="仿宋" w:hAnsi="仿宋" w:eastAsia="仿宋" w:cs="仿宋"/>
          <w:color w:val="333333"/>
          <w:sz w:val="24"/>
          <w:szCs w:val="24"/>
        </w:rPr>
        <w:t>修订完善学校考核评价体系，把课程思政建设工作列为重要指标，在绩效工资分配、评优树先、职称评聘、职级晋升等工作中，充分体现课程思政建设工作成效。</w:t>
      </w:r>
    </w:p>
    <w:p>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4124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Lines="0" w:beforeAutospacing="1" w:after="100" w:afterLines="0" w:afterAutospacing="1"/>
      <w:jc w:val="left"/>
    </w:pPr>
    <w:rPr>
      <w:rFonts w:hint="eastAsia" w:ascii="宋体" w:hAnsi="宋体"/>
      <w:kern w:val="0"/>
      <w:sz w:val="24"/>
    </w:rPr>
  </w:style>
  <w:style w:type="paragraph" w:styleId="5">
    <w:name w:val="List Paragraph"/>
    <w:basedOn w:val="1"/>
    <w:unhideWhenUsed/>
    <w:qFormat/>
    <w:uiPriority w:val="34"/>
    <w:pPr>
      <w:spacing w:beforeLines="0" w:afterLines="0"/>
      <w:ind w:firstLine="420" w:firstLineChars="200"/>
    </w:pPr>
    <w:rPr>
      <w:rFonts w:hint="default"/>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2023-10-12T07:07:28Z</dcterms:created>
  <dc:creator>Administrator</dc:creator>
  <cp:lastModifiedBy>我是舒克</cp:lastModifiedBy>
  <dcterms:modified xsi:type="dcterms:W3CDTF">2023-10-12T07:08:23Z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EF06CB3695534C6095234010DEAA9611_12</vt:lpwstr>
  </property>
</Properties>
</file>